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12B8D" w14:textId="77777777" w:rsidR="006F6FE0" w:rsidRPr="006F6FE0" w:rsidRDefault="006F6FE0">
      <w:pPr>
        <w:rPr>
          <w:b/>
          <w:bCs/>
        </w:rPr>
      </w:pPr>
    </w:p>
    <w:p w14:paraId="2AB6BA11" w14:textId="72908282" w:rsidR="00102501" w:rsidRPr="0021357C" w:rsidRDefault="00102501" w:rsidP="007B12C5">
      <w:pPr>
        <w:spacing w:line="192" w:lineRule="auto"/>
        <w:jc w:val="center"/>
        <w:rPr>
          <w:rFonts w:ascii="Titillium Web" w:hAnsi="Titillium Web"/>
          <w:sz w:val="32"/>
          <w:szCs w:val="32"/>
        </w:rPr>
      </w:pPr>
      <w:r w:rsidRPr="0021357C">
        <w:rPr>
          <w:rFonts w:ascii="Titillium Web" w:hAnsi="Titillium Web"/>
          <w:sz w:val="32"/>
          <w:szCs w:val="32"/>
        </w:rPr>
        <w:t>3</w:t>
      </w:r>
      <w:r w:rsidRPr="0021357C">
        <w:rPr>
          <w:rFonts w:ascii="Titillium Web" w:hAnsi="Titillium Web"/>
          <w:sz w:val="32"/>
          <w:szCs w:val="32"/>
          <w:vertAlign w:val="superscript"/>
        </w:rPr>
        <w:t>rd</w:t>
      </w:r>
      <w:r w:rsidRPr="0021357C">
        <w:rPr>
          <w:rFonts w:ascii="Titillium Web" w:hAnsi="Titillium Web"/>
          <w:sz w:val="32"/>
          <w:szCs w:val="32"/>
        </w:rPr>
        <w:t xml:space="preserve"> December 2019</w:t>
      </w:r>
      <w:r w:rsidR="007B12C5">
        <w:rPr>
          <w:rFonts w:ascii="Titillium Web" w:hAnsi="Titillium Web"/>
          <w:sz w:val="32"/>
          <w:szCs w:val="32"/>
        </w:rPr>
        <w:t xml:space="preserve"> </w:t>
      </w:r>
      <w:r w:rsidR="00856CF5">
        <w:rPr>
          <w:rFonts w:ascii="Titillium Web" w:hAnsi="Titillium Web"/>
          <w:sz w:val="32"/>
          <w:szCs w:val="32"/>
        </w:rPr>
        <w:t>–</w:t>
      </w:r>
      <w:r w:rsidR="007B12C5">
        <w:rPr>
          <w:rFonts w:ascii="Titillium Web" w:hAnsi="Titillium Web"/>
          <w:sz w:val="32"/>
          <w:szCs w:val="32"/>
        </w:rPr>
        <w:t xml:space="preserve"> </w:t>
      </w:r>
      <w:r w:rsidR="00856CF5">
        <w:rPr>
          <w:rFonts w:ascii="Titillium Web" w:hAnsi="Titillium Web"/>
          <w:sz w:val="32"/>
          <w:szCs w:val="32"/>
        </w:rPr>
        <w:t xml:space="preserve">Carol </w:t>
      </w:r>
      <w:proofErr w:type="spellStart"/>
      <w:r w:rsidR="00856CF5">
        <w:rPr>
          <w:rFonts w:ascii="Titillium Web" w:hAnsi="Titillium Web"/>
          <w:sz w:val="32"/>
          <w:szCs w:val="32"/>
        </w:rPr>
        <w:t>Hindes</w:t>
      </w:r>
      <w:proofErr w:type="spellEnd"/>
      <w:r w:rsidR="00856CF5">
        <w:rPr>
          <w:rFonts w:ascii="Titillium Web" w:hAnsi="Titillium Web"/>
          <w:sz w:val="32"/>
          <w:szCs w:val="32"/>
        </w:rPr>
        <w:t xml:space="preserve"> Room, </w:t>
      </w:r>
      <w:r w:rsidR="0021357C" w:rsidRPr="0021357C">
        <w:rPr>
          <w:rFonts w:ascii="Titillium Web" w:hAnsi="Titillium Web"/>
          <w:sz w:val="32"/>
          <w:szCs w:val="32"/>
        </w:rPr>
        <w:t xml:space="preserve">Les </w:t>
      </w:r>
      <w:proofErr w:type="spellStart"/>
      <w:r w:rsidR="0021357C" w:rsidRPr="0021357C">
        <w:rPr>
          <w:rFonts w:ascii="Titillium Web" w:hAnsi="Titillium Web"/>
          <w:sz w:val="32"/>
          <w:szCs w:val="32"/>
        </w:rPr>
        <w:t>Cotils</w:t>
      </w:r>
      <w:bookmarkStart w:id="0" w:name="_GoBack"/>
      <w:bookmarkEnd w:id="0"/>
      <w:proofErr w:type="spellEnd"/>
    </w:p>
    <w:p w14:paraId="09124674" w14:textId="77777777" w:rsidR="008658C6" w:rsidRDefault="008658C6" w:rsidP="004A71DC">
      <w:pPr>
        <w:spacing w:line="192" w:lineRule="auto"/>
        <w:jc w:val="both"/>
        <w:rPr>
          <w:rFonts w:ascii="Titillium Web" w:hAnsi="Titillium Web"/>
          <w:b/>
          <w:bCs/>
          <w:u w:val="single"/>
        </w:rPr>
      </w:pPr>
    </w:p>
    <w:p w14:paraId="35B8F9CA" w14:textId="77777777" w:rsidR="000F4AC7" w:rsidRPr="0021357C" w:rsidRDefault="00C10928" w:rsidP="004A71DC">
      <w:pPr>
        <w:spacing w:line="192" w:lineRule="auto"/>
        <w:jc w:val="both"/>
        <w:rPr>
          <w:rFonts w:ascii="Titillium Web" w:hAnsi="Titillium Web"/>
          <w:sz w:val="28"/>
          <w:szCs w:val="28"/>
        </w:rPr>
      </w:pPr>
      <w:r w:rsidRPr="0021357C">
        <w:rPr>
          <w:rFonts w:ascii="Titillium Web" w:hAnsi="Titillium Web"/>
          <w:b/>
          <w:bCs/>
          <w:sz w:val="28"/>
          <w:szCs w:val="28"/>
        </w:rPr>
        <w:t>Money Laundering Compliance Officer Workshop</w:t>
      </w:r>
    </w:p>
    <w:p w14:paraId="20B0E5DE" w14:textId="20674B1A" w:rsidR="00F879D3" w:rsidRPr="00E44C13" w:rsidRDefault="00220A16" w:rsidP="004A71DC">
      <w:pPr>
        <w:spacing w:line="192" w:lineRule="auto"/>
        <w:jc w:val="both"/>
        <w:rPr>
          <w:rFonts w:ascii="Titillium Web" w:hAnsi="Titillium Web"/>
          <w:sz w:val="24"/>
          <w:szCs w:val="24"/>
        </w:rPr>
      </w:pPr>
      <w:r w:rsidRPr="00E44C13">
        <w:rPr>
          <w:rFonts w:ascii="Titillium Web" w:hAnsi="Titillium Web"/>
          <w:sz w:val="24"/>
          <w:szCs w:val="24"/>
        </w:rPr>
        <w:t>9</w:t>
      </w:r>
      <w:r w:rsidR="00102501" w:rsidRPr="00E44C13">
        <w:rPr>
          <w:rFonts w:ascii="Titillium Web" w:hAnsi="Titillium Web"/>
          <w:sz w:val="24"/>
          <w:szCs w:val="24"/>
        </w:rPr>
        <w:t>am -11</w:t>
      </w:r>
      <w:r w:rsidRPr="00E44C13">
        <w:rPr>
          <w:rFonts w:ascii="Titillium Web" w:hAnsi="Titillium Web"/>
          <w:sz w:val="24"/>
          <w:szCs w:val="24"/>
        </w:rPr>
        <w:t>:30am</w:t>
      </w:r>
    </w:p>
    <w:p w14:paraId="646EEE82" w14:textId="77777777" w:rsidR="00F879D3" w:rsidRPr="004A71DC" w:rsidRDefault="00F879D3" w:rsidP="004A71DC">
      <w:pPr>
        <w:spacing w:line="192" w:lineRule="auto"/>
        <w:jc w:val="both"/>
        <w:rPr>
          <w:rFonts w:ascii="Titillium Web" w:hAnsi="Titillium Web"/>
        </w:rPr>
      </w:pPr>
    </w:p>
    <w:p w14:paraId="7CDDAB8C" w14:textId="7E1EEA34" w:rsidR="00C9251A" w:rsidRDefault="001C16ED" w:rsidP="004C0099">
      <w:pPr>
        <w:spacing w:line="192" w:lineRule="auto"/>
        <w:jc w:val="both"/>
        <w:rPr>
          <w:rFonts w:ascii="Titillium Web" w:hAnsi="Titillium Web"/>
        </w:rPr>
      </w:pPr>
      <w:r>
        <w:rPr>
          <w:rFonts w:ascii="Titillium Web" w:hAnsi="Titillium Web"/>
        </w:rPr>
        <w:t>With the introduction of t</w:t>
      </w:r>
      <w:r w:rsidR="004C0099" w:rsidRPr="004C0099">
        <w:rPr>
          <w:rFonts w:ascii="Titillium Web" w:hAnsi="Titillium Web"/>
        </w:rPr>
        <w:t xml:space="preserve">he revised </w:t>
      </w:r>
      <w:r w:rsidR="002E5E91">
        <w:rPr>
          <w:rFonts w:ascii="Titillium Web" w:hAnsi="Titillium Web"/>
        </w:rPr>
        <w:t xml:space="preserve">AML/CFT framework, </w:t>
      </w:r>
      <w:r w:rsidR="00965AC4">
        <w:rPr>
          <w:rFonts w:ascii="Titillium Web" w:hAnsi="Titillium Web"/>
        </w:rPr>
        <w:t>all specified businesses are now required to appoint a</w:t>
      </w:r>
      <w:r w:rsidR="004C0099" w:rsidRPr="004C0099">
        <w:rPr>
          <w:rFonts w:ascii="Titillium Web" w:hAnsi="Titillium Web"/>
        </w:rPr>
        <w:t xml:space="preserve"> M</w:t>
      </w:r>
      <w:r w:rsidR="00965AC4">
        <w:rPr>
          <w:rFonts w:ascii="Titillium Web" w:hAnsi="Titillium Web"/>
        </w:rPr>
        <w:t xml:space="preserve">oney </w:t>
      </w:r>
      <w:r w:rsidR="004C0099" w:rsidRPr="004C0099">
        <w:rPr>
          <w:rFonts w:ascii="Titillium Web" w:hAnsi="Titillium Web"/>
        </w:rPr>
        <w:t>L</w:t>
      </w:r>
      <w:r w:rsidR="00965AC4">
        <w:rPr>
          <w:rFonts w:ascii="Titillium Web" w:hAnsi="Titillium Web"/>
        </w:rPr>
        <w:t xml:space="preserve">aundering </w:t>
      </w:r>
      <w:r w:rsidR="004C0099" w:rsidRPr="004C0099">
        <w:rPr>
          <w:rFonts w:ascii="Titillium Web" w:hAnsi="Titillium Web"/>
        </w:rPr>
        <w:t>C</w:t>
      </w:r>
      <w:r w:rsidR="00965AC4">
        <w:rPr>
          <w:rFonts w:ascii="Titillium Web" w:hAnsi="Titillium Web"/>
        </w:rPr>
        <w:t xml:space="preserve">ompliance </w:t>
      </w:r>
      <w:r w:rsidR="004C0099" w:rsidRPr="004C0099">
        <w:rPr>
          <w:rFonts w:ascii="Titillium Web" w:hAnsi="Titillium Web"/>
        </w:rPr>
        <w:t>O</w:t>
      </w:r>
      <w:r w:rsidR="00965AC4">
        <w:rPr>
          <w:rFonts w:ascii="Titillium Web" w:hAnsi="Titillium Web"/>
        </w:rPr>
        <w:t xml:space="preserve">fficer to monitor </w:t>
      </w:r>
      <w:r w:rsidR="000813EC">
        <w:rPr>
          <w:rFonts w:ascii="Titillium Web" w:hAnsi="Titillium Web"/>
        </w:rPr>
        <w:t>compliance w</w:t>
      </w:r>
      <w:r w:rsidR="005F5B1C">
        <w:rPr>
          <w:rFonts w:ascii="Titillium Web" w:hAnsi="Titillium Web"/>
        </w:rPr>
        <w:t xml:space="preserve">ith </w:t>
      </w:r>
      <w:r w:rsidR="006F23D7">
        <w:rPr>
          <w:rFonts w:ascii="Titillium Web" w:hAnsi="Titillium Web"/>
        </w:rPr>
        <w:t>their policies, procedures and controls to forestall, prevent and detect money laundering and terrorist financing</w:t>
      </w:r>
      <w:r w:rsidR="004C0099" w:rsidRPr="004C0099">
        <w:rPr>
          <w:rFonts w:ascii="Titillium Web" w:hAnsi="Titillium Web"/>
        </w:rPr>
        <w:t>.</w:t>
      </w:r>
    </w:p>
    <w:p w14:paraId="46783AA1" w14:textId="77777777" w:rsidR="00C9251A" w:rsidRDefault="00C9251A" w:rsidP="004C0099">
      <w:pPr>
        <w:spacing w:line="192" w:lineRule="auto"/>
        <w:jc w:val="both"/>
        <w:rPr>
          <w:rFonts w:ascii="Titillium Web" w:hAnsi="Titillium Web"/>
        </w:rPr>
      </w:pPr>
    </w:p>
    <w:p w14:paraId="52BCB5ED" w14:textId="0C40BC6D" w:rsidR="00203EAB" w:rsidRDefault="004C0099" w:rsidP="004C0099">
      <w:pPr>
        <w:spacing w:line="192" w:lineRule="auto"/>
        <w:jc w:val="both"/>
        <w:rPr>
          <w:rFonts w:ascii="Titillium Web" w:hAnsi="Titillium Web"/>
        </w:rPr>
      </w:pPr>
      <w:r w:rsidRPr="004C0099">
        <w:rPr>
          <w:rFonts w:ascii="Titillium Web" w:hAnsi="Titillium Web"/>
        </w:rPr>
        <w:t xml:space="preserve">This </w:t>
      </w:r>
      <w:r w:rsidR="00295B13">
        <w:rPr>
          <w:rFonts w:ascii="Titillium Web" w:hAnsi="Titillium Web"/>
        </w:rPr>
        <w:t xml:space="preserve">interactive </w:t>
      </w:r>
      <w:r w:rsidRPr="004C0099">
        <w:rPr>
          <w:rFonts w:ascii="Titillium Web" w:hAnsi="Titillium Web"/>
        </w:rPr>
        <w:t xml:space="preserve">session will cover the </w:t>
      </w:r>
      <w:r w:rsidR="00215AAF">
        <w:rPr>
          <w:rFonts w:ascii="Titillium Web" w:hAnsi="Titillium Web"/>
        </w:rPr>
        <w:t>functions</w:t>
      </w:r>
      <w:r w:rsidRPr="004C0099">
        <w:rPr>
          <w:rFonts w:ascii="Titillium Web" w:hAnsi="Titillium Web"/>
        </w:rPr>
        <w:t xml:space="preserve"> </w:t>
      </w:r>
      <w:r w:rsidR="0003064A">
        <w:rPr>
          <w:rFonts w:ascii="Titillium Web" w:hAnsi="Titillium Web"/>
        </w:rPr>
        <w:t>a</w:t>
      </w:r>
      <w:r w:rsidR="007951D4">
        <w:rPr>
          <w:rFonts w:ascii="Titillium Web" w:hAnsi="Titillium Web"/>
        </w:rPr>
        <w:t xml:space="preserve">nd </w:t>
      </w:r>
      <w:r w:rsidR="00844828">
        <w:rPr>
          <w:rFonts w:ascii="Titillium Web" w:hAnsi="Titillium Web"/>
        </w:rPr>
        <w:t xml:space="preserve">Commission’s expectations </w:t>
      </w:r>
      <w:r w:rsidRPr="004C0099">
        <w:rPr>
          <w:rFonts w:ascii="Titillium Web" w:hAnsi="Titillium Web"/>
        </w:rPr>
        <w:t>of the MLCO</w:t>
      </w:r>
      <w:r w:rsidR="003930A2">
        <w:rPr>
          <w:rFonts w:ascii="Titillium Web" w:hAnsi="Titillium Web"/>
        </w:rPr>
        <w:t xml:space="preserve">, </w:t>
      </w:r>
      <w:r w:rsidRPr="004C0099">
        <w:rPr>
          <w:rFonts w:ascii="Titillium Web" w:hAnsi="Titillium Web"/>
        </w:rPr>
        <w:t xml:space="preserve">how </w:t>
      </w:r>
      <w:r w:rsidR="00215AAF">
        <w:rPr>
          <w:rFonts w:ascii="Titillium Web" w:hAnsi="Titillium Web"/>
        </w:rPr>
        <w:t>these</w:t>
      </w:r>
      <w:r w:rsidRPr="004C0099">
        <w:rPr>
          <w:rFonts w:ascii="Titillium Web" w:hAnsi="Titillium Web"/>
        </w:rPr>
        <w:t xml:space="preserve"> differ from </w:t>
      </w:r>
      <w:r w:rsidR="00691929">
        <w:rPr>
          <w:rFonts w:ascii="Titillium Web" w:hAnsi="Titillium Web"/>
        </w:rPr>
        <w:t xml:space="preserve">those of </w:t>
      </w:r>
      <w:r w:rsidRPr="004C0099">
        <w:rPr>
          <w:rFonts w:ascii="Titillium Web" w:hAnsi="Titillium Web"/>
        </w:rPr>
        <w:t>the MLRO and Compliance Officer</w:t>
      </w:r>
      <w:r w:rsidR="00215AAF">
        <w:rPr>
          <w:rFonts w:ascii="Titillium Web" w:hAnsi="Titillium Web"/>
        </w:rPr>
        <w:t>, as well as looking</w:t>
      </w:r>
      <w:r w:rsidRPr="004C0099">
        <w:rPr>
          <w:rFonts w:ascii="Titillium Web" w:hAnsi="Titillium Web"/>
        </w:rPr>
        <w:t xml:space="preserve"> at some of the challenges of the role and lessons </w:t>
      </w:r>
      <w:r w:rsidR="00DE41A4">
        <w:rPr>
          <w:rFonts w:ascii="Titillium Web" w:hAnsi="Titillium Web"/>
        </w:rPr>
        <w:t xml:space="preserve">that </w:t>
      </w:r>
      <w:r w:rsidRPr="004C0099">
        <w:rPr>
          <w:rFonts w:ascii="Titillium Web" w:hAnsi="Titillium Web"/>
        </w:rPr>
        <w:t>can be learnt from</w:t>
      </w:r>
      <w:r w:rsidR="00DE41A4">
        <w:rPr>
          <w:rFonts w:ascii="Titillium Web" w:hAnsi="Titillium Web"/>
        </w:rPr>
        <w:t xml:space="preserve"> the GFSC’s</w:t>
      </w:r>
      <w:r w:rsidRPr="004C0099">
        <w:rPr>
          <w:rFonts w:ascii="Titillium Web" w:hAnsi="Titillium Web"/>
        </w:rPr>
        <w:t xml:space="preserve"> recent enforcement cases.</w:t>
      </w:r>
    </w:p>
    <w:p w14:paraId="0E575C04" w14:textId="77777777" w:rsidR="00E32B9C" w:rsidRDefault="00E32B9C" w:rsidP="004C0099">
      <w:pPr>
        <w:spacing w:line="192" w:lineRule="auto"/>
        <w:jc w:val="both"/>
        <w:rPr>
          <w:rFonts w:ascii="Titillium Web" w:hAnsi="Titillium Web"/>
          <w:b/>
          <w:bCs/>
        </w:rPr>
      </w:pPr>
    </w:p>
    <w:p w14:paraId="25BB6EDD" w14:textId="77777777" w:rsidR="000F4AC7" w:rsidRPr="00E44C13" w:rsidRDefault="00203EAB" w:rsidP="00C10928">
      <w:pPr>
        <w:spacing w:line="192" w:lineRule="auto"/>
        <w:jc w:val="both"/>
        <w:rPr>
          <w:rFonts w:ascii="Titillium Web" w:hAnsi="Titillium Web"/>
          <w:sz w:val="28"/>
          <w:szCs w:val="28"/>
        </w:rPr>
      </w:pPr>
      <w:r w:rsidRPr="00E44C13">
        <w:rPr>
          <w:rFonts w:ascii="Titillium Web" w:hAnsi="Titillium Web"/>
          <w:b/>
          <w:bCs/>
          <w:sz w:val="28"/>
          <w:szCs w:val="28"/>
        </w:rPr>
        <w:t>Business Risk Assessment 101</w:t>
      </w:r>
    </w:p>
    <w:p w14:paraId="7C41D005" w14:textId="64C647C0" w:rsidR="00203EAB" w:rsidRPr="00E44C13" w:rsidRDefault="00220A16" w:rsidP="00C10928">
      <w:pPr>
        <w:spacing w:line="192" w:lineRule="auto"/>
        <w:jc w:val="both"/>
        <w:rPr>
          <w:rFonts w:ascii="Titillium Web" w:hAnsi="Titillium Web"/>
          <w:sz w:val="24"/>
          <w:szCs w:val="24"/>
        </w:rPr>
      </w:pPr>
      <w:r w:rsidRPr="00E44C13">
        <w:rPr>
          <w:rFonts w:ascii="Titillium Web" w:hAnsi="Titillium Web"/>
          <w:sz w:val="24"/>
          <w:szCs w:val="24"/>
        </w:rPr>
        <w:t>2pm – 4:30pm</w:t>
      </w:r>
    </w:p>
    <w:p w14:paraId="1F91BBE9" w14:textId="34E29FDA" w:rsidR="00203EAB" w:rsidRDefault="00203EAB" w:rsidP="00C10928">
      <w:pPr>
        <w:spacing w:line="192" w:lineRule="auto"/>
        <w:jc w:val="both"/>
        <w:rPr>
          <w:rFonts w:ascii="Titillium Web" w:hAnsi="Titillium Web"/>
          <w:b/>
          <w:bCs/>
          <w:u w:val="single"/>
        </w:rPr>
      </w:pPr>
    </w:p>
    <w:p w14:paraId="751B4F99" w14:textId="1490F34A" w:rsidR="00203EAB" w:rsidRDefault="00B62B6D" w:rsidP="00C10928">
      <w:pPr>
        <w:spacing w:line="192" w:lineRule="auto"/>
        <w:jc w:val="both"/>
        <w:rPr>
          <w:rFonts w:ascii="Titillium Web" w:hAnsi="Titillium Web"/>
        </w:rPr>
      </w:pPr>
      <w:r w:rsidRPr="0021357C">
        <w:rPr>
          <w:rFonts w:ascii="Titillium Web" w:hAnsi="Titillium Web"/>
        </w:rPr>
        <w:t xml:space="preserve">With </w:t>
      </w:r>
      <w:r w:rsidR="00D15142">
        <w:rPr>
          <w:rFonts w:ascii="Titillium Web" w:hAnsi="Titillium Web"/>
        </w:rPr>
        <w:t>the</w:t>
      </w:r>
      <w:r w:rsidRPr="0021357C">
        <w:rPr>
          <w:rFonts w:ascii="Titillium Web" w:hAnsi="Titillium Web"/>
        </w:rPr>
        <w:t xml:space="preserve"> transitional provisions </w:t>
      </w:r>
      <w:r w:rsidR="00D15142">
        <w:rPr>
          <w:rFonts w:ascii="Titillium Web" w:hAnsi="Titillium Web"/>
        </w:rPr>
        <w:t xml:space="preserve">of the GFSC’s Financial Crime Handbook </w:t>
      </w:r>
      <w:r w:rsidRPr="0021357C">
        <w:rPr>
          <w:rFonts w:ascii="Titillium Web" w:hAnsi="Titillium Web"/>
        </w:rPr>
        <w:t xml:space="preserve">now in effect, </w:t>
      </w:r>
      <w:r w:rsidR="00CA0FCD">
        <w:rPr>
          <w:rFonts w:ascii="Titillium Web" w:hAnsi="Titillium Web"/>
        </w:rPr>
        <w:t>t</w:t>
      </w:r>
      <w:r w:rsidR="003E07B8">
        <w:rPr>
          <w:rFonts w:ascii="Titillium Web" w:hAnsi="Titillium Web"/>
        </w:rPr>
        <w:t xml:space="preserve">he session will </w:t>
      </w:r>
      <w:r w:rsidR="00CA0FCD">
        <w:rPr>
          <w:rFonts w:ascii="Titillium Web" w:hAnsi="Titillium Web"/>
        </w:rPr>
        <w:t>provide a</w:t>
      </w:r>
      <w:r w:rsidR="00CA0FCD" w:rsidRPr="00CA0FCD">
        <w:rPr>
          <w:rFonts w:ascii="Titillium Web" w:hAnsi="Titillium Web"/>
        </w:rPr>
        <w:t>n interactive look at the purpose and methods of understanding and assessing the money laundering and terrorist financing risks to your business</w:t>
      </w:r>
      <w:r w:rsidR="00CA0FCD">
        <w:rPr>
          <w:rFonts w:ascii="Titillium Web" w:hAnsi="Titillium Web"/>
        </w:rPr>
        <w:t>, including:</w:t>
      </w:r>
    </w:p>
    <w:p w14:paraId="78C271E2" w14:textId="5697EC0D" w:rsidR="008547DC" w:rsidRDefault="008547DC" w:rsidP="00C10928">
      <w:pPr>
        <w:spacing w:line="192" w:lineRule="auto"/>
        <w:jc w:val="both"/>
        <w:rPr>
          <w:rFonts w:ascii="Titillium Web" w:hAnsi="Titillium Web"/>
        </w:rPr>
      </w:pPr>
    </w:p>
    <w:p w14:paraId="1D479FCB" w14:textId="7FCE7CC1" w:rsidR="008547DC" w:rsidRDefault="00A672EB" w:rsidP="008547DC">
      <w:pPr>
        <w:pStyle w:val="ListParagraph"/>
        <w:numPr>
          <w:ilvl w:val="0"/>
          <w:numId w:val="1"/>
        </w:numPr>
        <w:spacing w:line="192" w:lineRule="auto"/>
        <w:ind w:left="1134" w:hanging="567"/>
        <w:jc w:val="both"/>
        <w:rPr>
          <w:rFonts w:ascii="Titillium Web" w:hAnsi="Titillium Web"/>
        </w:rPr>
      </w:pPr>
      <w:r>
        <w:rPr>
          <w:rFonts w:ascii="Titillium Web" w:hAnsi="Titillium Web"/>
        </w:rPr>
        <w:t xml:space="preserve">How should </w:t>
      </w:r>
      <w:r w:rsidR="00FC44C7">
        <w:rPr>
          <w:rFonts w:ascii="Titillium Web" w:hAnsi="Titillium Web"/>
        </w:rPr>
        <w:t>your</w:t>
      </w:r>
      <w:r>
        <w:rPr>
          <w:rFonts w:ascii="Titillium Web" w:hAnsi="Titillium Web"/>
        </w:rPr>
        <w:t xml:space="preserve"> </w:t>
      </w:r>
      <w:r w:rsidR="00FC44C7">
        <w:rPr>
          <w:rFonts w:ascii="Titillium Web" w:hAnsi="Titillium Web"/>
        </w:rPr>
        <w:t>Business Risk Assessment be structured</w:t>
      </w:r>
      <w:r w:rsidR="008A12F2">
        <w:rPr>
          <w:rFonts w:ascii="Titillium Web" w:hAnsi="Titillium Web"/>
        </w:rPr>
        <w:t xml:space="preserve"> and what should it contain</w:t>
      </w:r>
      <w:r w:rsidR="00FC44C7">
        <w:rPr>
          <w:rFonts w:ascii="Titillium Web" w:hAnsi="Titillium Web"/>
        </w:rPr>
        <w:t>?</w:t>
      </w:r>
    </w:p>
    <w:p w14:paraId="07C61B28" w14:textId="3FDBF17C" w:rsidR="00FC44C7" w:rsidRDefault="008A12F2" w:rsidP="008547DC">
      <w:pPr>
        <w:pStyle w:val="ListParagraph"/>
        <w:numPr>
          <w:ilvl w:val="0"/>
          <w:numId w:val="1"/>
        </w:numPr>
        <w:spacing w:line="192" w:lineRule="auto"/>
        <w:ind w:left="1134" w:hanging="567"/>
        <w:jc w:val="both"/>
        <w:rPr>
          <w:rFonts w:ascii="Titillium Web" w:hAnsi="Titillium Web"/>
        </w:rPr>
      </w:pPr>
      <w:r>
        <w:rPr>
          <w:rFonts w:ascii="Titillium Web" w:hAnsi="Titillium Web"/>
        </w:rPr>
        <w:t>Identifying and assessing money laundering and terrorist financing risk factors.</w:t>
      </w:r>
    </w:p>
    <w:p w14:paraId="4AE06854" w14:textId="2E40D96B" w:rsidR="00FC44C7" w:rsidRPr="008547DC" w:rsidRDefault="00FC44C7" w:rsidP="008547DC">
      <w:pPr>
        <w:pStyle w:val="ListParagraph"/>
        <w:numPr>
          <w:ilvl w:val="0"/>
          <w:numId w:val="1"/>
        </w:numPr>
        <w:spacing w:line="192" w:lineRule="auto"/>
        <w:ind w:left="1134" w:hanging="567"/>
        <w:jc w:val="both"/>
        <w:rPr>
          <w:rFonts w:ascii="Titillium Web" w:hAnsi="Titillium Web"/>
        </w:rPr>
      </w:pPr>
      <w:r>
        <w:rPr>
          <w:rFonts w:ascii="Titillium Web" w:hAnsi="Titillium Web"/>
        </w:rPr>
        <w:t xml:space="preserve">What is ‘Risk Appetite’ and </w:t>
      </w:r>
      <w:r w:rsidR="000B68F6">
        <w:rPr>
          <w:rFonts w:ascii="Titillium Web" w:hAnsi="Titillium Web"/>
        </w:rPr>
        <w:t>what is its purpose?</w:t>
      </w:r>
    </w:p>
    <w:p w14:paraId="6AB838BA" w14:textId="5E9BEB93" w:rsidR="00203EAB" w:rsidRDefault="00203EAB" w:rsidP="00C10928">
      <w:pPr>
        <w:spacing w:line="192" w:lineRule="auto"/>
        <w:jc w:val="both"/>
        <w:rPr>
          <w:rFonts w:ascii="Titillium Web" w:hAnsi="Titillium Web"/>
          <w:b/>
          <w:bCs/>
        </w:rPr>
      </w:pPr>
    </w:p>
    <w:p w14:paraId="1EA94E7B" w14:textId="53EA9A7E" w:rsidR="00E04673" w:rsidRDefault="00D77AA8" w:rsidP="005C6655">
      <w:pPr>
        <w:spacing w:line="192" w:lineRule="auto"/>
        <w:jc w:val="center"/>
        <w:rPr>
          <w:rFonts w:ascii="Titillium Web" w:hAnsi="Titillium Web"/>
          <w:b/>
          <w:bCs/>
        </w:rPr>
      </w:pPr>
      <w:r>
        <w:rPr>
          <w:rFonts w:ascii="Titillium Web" w:hAnsi="Titillium Web"/>
          <w:b/>
          <w:bCs/>
        </w:rPr>
        <w:t>Places for b</w:t>
      </w:r>
      <w:r w:rsidR="00E04673">
        <w:rPr>
          <w:rFonts w:ascii="Titillium Web" w:hAnsi="Titillium Web"/>
          <w:b/>
          <w:bCs/>
        </w:rPr>
        <w:t xml:space="preserve">oth sessions </w:t>
      </w:r>
      <w:r>
        <w:rPr>
          <w:rFonts w:ascii="Titillium Web" w:hAnsi="Titillium Web"/>
          <w:b/>
          <w:bCs/>
        </w:rPr>
        <w:t>will be limited to</w:t>
      </w:r>
      <w:r w:rsidR="006203D2">
        <w:rPr>
          <w:rFonts w:ascii="Titillium Web" w:hAnsi="Titillium Web"/>
          <w:b/>
          <w:bCs/>
        </w:rPr>
        <w:t xml:space="preserve"> </w:t>
      </w:r>
      <w:r w:rsidR="00CE0716">
        <w:rPr>
          <w:rFonts w:ascii="Titillium Web" w:hAnsi="Titillium Web"/>
          <w:b/>
          <w:bCs/>
        </w:rPr>
        <w:t>help make them as interactive as possible</w:t>
      </w:r>
      <w:r w:rsidR="005C6655">
        <w:rPr>
          <w:rFonts w:ascii="Titillium Web" w:hAnsi="Titillium Web"/>
          <w:b/>
          <w:bCs/>
        </w:rPr>
        <w:t>.</w:t>
      </w:r>
    </w:p>
    <w:p w14:paraId="59AA5AC7" w14:textId="77777777" w:rsidR="00E04673" w:rsidRDefault="00E04673" w:rsidP="00C10928">
      <w:pPr>
        <w:spacing w:line="192" w:lineRule="auto"/>
        <w:jc w:val="both"/>
        <w:rPr>
          <w:rFonts w:ascii="Titillium Web" w:hAnsi="Titillium Web"/>
          <w:b/>
          <w:bCs/>
        </w:rPr>
      </w:pPr>
    </w:p>
    <w:p w14:paraId="19930CB9" w14:textId="6AF45126" w:rsidR="00203EAB" w:rsidRPr="00E44C13" w:rsidRDefault="00592DDB" w:rsidP="00C10928">
      <w:pPr>
        <w:spacing w:line="192" w:lineRule="auto"/>
        <w:jc w:val="both"/>
        <w:rPr>
          <w:rFonts w:ascii="Titillium Web" w:hAnsi="Titillium Web"/>
          <w:b/>
          <w:bCs/>
          <w:sz w:val="28"/>
          <w:szCs w:val="28"/>
          <w:u w:val="single"/>
        </w:rPr>
      </w:pPr>
      <w:r w:rsidRPr="00E44C13">
        <w:rPr>
          <w:rFonts w:ascii="Titillium Web" w:hAnsi="Titillium Web"/>
          <w:b/>
          <w:bCs/>
          <w:sz w:val="28"/>
          <w:szCs w:val="28"/>
          <w:u w:val="single"/>
        </w:rPr>
        <w:t>Presenters</w:t>
      </w:r>
    </w:p>
    <w:p w14:paraId="39DA1F4F" w14:textId="7FEFE0F4" w:rsidR="00592DDB" w:rsidRDefault="00592DDB" w:rsidP="00C10928">
      <w:pPr>
        <w:spacing w:line="192" w:lineRule="auto"/>
        <w:jc w:val="both"/>
        <w:rPr>
          <w:rFonts w:ascii="Titillium Web" w:hAnsi="Titillium Web"/>
          <w:b/>
          <w:bCs/>
          <w:u w:val="single"/>
        </w:rPr>
      </w:pPr>
    </w:p>
    <w:tbl>
      <w:tblPr>
        <w:tblStyle w:val="TableGrid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641"/>
      </w:tblGrid>
      <w:tr w:rsidR="00482177" w14:paraId="55102F27" w14:textId="71EB051D" w:rsidTr="00482177">
        <w:trPr>
          <w:trHeight w:val="1757"/>
        </w:trPr>
        <w:tc>
          <w:tcPr>
            <w:tcW w:w="1656" w:type="dxa"/>
            <w:vAlign w:val="center"/>
          </w:tcPr>
          <w:p w14:paraId="713D3B13" w14:textId="17E9B96F" w:rsidR="00BA7E29" w:rsidRDefault="00E44C13" w:rsidP="00E44C13">
            <w:pPr>
              <w:spacing w:line="192" w:lineRule="auto"/>
              <w:jc w:val="center"/>
              <w:rPr>
                <w:rFonts w:ascii="Titillium Web" w:hAnsi="Titillium Web"/>
                <w:b/>
                <w:bCs/>
              </w:rPr>
            </w:pPr>
            <w:r>
              <w:rPr>
                <w:rFonts w:ascii="Titillium Web" w:hAnsi="Titillium Web"/>
                <w:b/>
                <w:bCs/>
                <w:noProof/>
              </w:rPr>
              <w:drawing>
                <wp:inline distT="0" distB="0" distL="0" distR="0" wp14:anchorId="5D7B427F" wp14:editId="7757A089">
                  <wp:extent cx="914100" cy="1101725"/>
                  <wp:effectExtent l="0" t="0" r="635" b="3175"/>
                  <wp:docPr id="1" name="Picture 1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03.jpe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0" r="6757"/>
                          <a:stretch/>
                        </pic:blipFill>
                        <pic:spPr bwMode="auto">
                          <a:xfrm>
                            <a:off x="0" y="0"/>
                            <a:ext cx="964152" cy="116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1" w:type="dxa"/>
          </w:tcPr>
          <w:p w14:paraId="4908D342" w14:textId="77777777" w:rsidR="00482177" w:rsidRPr="00E44C13" w:rsidRDefault="00482177" w:rsidP="00482177">
            <w:pPr>
              <w:spacing w:after="120" w:line="192" w:lineRule="auto"/>
              <w:jc w:val="both"/>
              <w:rPr>
                <w:rFonts w:ascii="Titillium Web" w:hAnsi="Titillium Web"/>
                <w:b/>
                <w:bCs/>
                <w:sz w:val="24"/>
                <w:szCs w:val="24"/>
              </w:rPr>
            </w:pPr>
            <w:r w:rsidRPr="00E44C13">
              <w:rPr>
                <w:rFonts w:ascii="Titillium Web" w:hAnsi="Titillium Web"/>
                <w:b/>
                <w:bCs/>
                <w:sz w:val="24"/>
                <w:szCs w:val="24"/>
              </w:rPr>
              <w:t>Cathy Lloyd</w:t>
            </w:r>
          </w:p>
          <w:p w14:paraId="725D4958" w14:textId="3E2A4C75" w:rsidR="00BA7E29" w:rsidRPr="00C2320B" w:rsidRDefault="00C2320B" w:rsidP="00C10928">
            <w:pPr>
              <w:spacing w:line="192" w:lineRule="auto"/>
              <w:jc w:val="both"/>
              <w:rPr>
                <w:rFonts w:ascii="Titillium Web" w:hAnsi="Titillium Web"/>
              </w:rPr>
            </w:pPr>
            <w:r w:rsidRPr="00C2320B">
              <w:rPr>
                <w:rFonts w:ascii="Titillium Web" w:hAnsi="Titillium Web"/>
              </w:rPr>
              <w:t>Cathy has worked in the Banking industry for over 30 years</w:t>
            </w:r>
            <w:r w:rsidR="00530E6A">
              <w:rPr>
                <w:rFonts w:ascii="Titillium Web" w:hAnsi="Titillium Web"/>
              </w:rPr>
              <w:t>, holding roles</w:t>
            </w:r>
            <w:r w:rsidRPr="00C2320B">
              <w:rPr>
                <w:rFonts w:ascii="Titillium Web" w:hAnsi="Titillium Web"/>
              </w:rPr>
              <w:t xml:space="preserve"> in </w:t>
            </w:r>
            <w:r w:rsidR="00F13056">
              <w:rPr>
                <w:rFonts w:ascii="Titillium Web" w:hAnsi="Titillium Web"/>
              </w:rPr>
              <w:t xml:space="preserve">the </w:t>
            </w:r>
            <w:r w:rsidRPr="00C2320B">
              <w:rPr>
                <w:rFonts w:ascii="Titillium Web" w:hAnsi="Titillium Web"/>
              </w:rPr>
              <w:t>UK, Jersey and Guernsey in both Sales and Relationship Management</w:t>
            </w:r>
            <w:r w:rsidR="00365324">
              <w:rPr>
                <w:rFonts w:ascii="Titillium Web" w:hAnsi="Titillium Web"/>
              </w:rPr>
              <w:t xml:space="preserve">, </w:t>
            </w:r>
            <w:r w:rsidR="00A2538F">
              <w:rPr>
                <w:rFonts w:ascii="Titillium Web" w:hAnsi="Titillium Web"/>
              </w:rPr>
              <w:t>and</w:t>
            </w:r>
            <w:r w:rsidRPr="00C2320B">
              <w:rPr>
                <w:rFonts w:ascii="Titillium Web" w:hAnsi="Titillium Web"/>
              </w:rPr>
              <w:t xml:space="preserve"> Compliance and Financial Crime. </w:t>
            </w:r>
            <w:r w:rsidR="00590992">
              <w:rPr>
                <w:rFonts w:ascii="Titillium Web" w:hAnsi="Titillium Web"/>
              </w:rPr>
              <w:t xml:space="preserve"> </w:t>
            </w:r>
            <w:r w:rsidRPr="00C2320B">
              <w:rPr>
                <w:rFonts w:ascii="Titillium Web" w:hAnsi="Titillium Web"/>
              </w:rPr>
              <w:t>Cathy is a fellow of the ICA</w:t>
            </w:r>
            <w:r w:rsidR="002075A3">
              <w:rPr>
                <w:rFonts w:ascii="Titillium Web" w:hAnsi="Titillium Web"/>
              </w:rPr>
              <w:t>,</w:t>
            </w:r>
            <w:r w:rsidRPr="00C2320B">
              <w:rPr>
                <w:rFonts w:ascii="Titillium Web" w:hAnsi="Titillium Web"/>
              </w:rPr>
              <w:t xml:space="preserve"> holds the Post Graduate Diploma in Financial Crime Compliance and is on the Committee of the Guernsey Association of Compliance Officers. </w:t>
            </w:r>
            <w:r w:rsidR="00B93EB3">
              <w:rPr>
                <w:rFonts w:ascii="Titillium Web" w:hAnsi="Titillium Web"/>
              </w:rPr>
              <w:t xml:space="preserve"> </w:t>
            </w:r>
            <w:r w:rsidR="00175C0A">
              <w:rPr>
                <w:rFonts w:ascii="Titillium Web" w:hAnsi="Titillium Web"/>
              </w:rPr>
              <w:t xml:space="preserve">Over the course of her career </w:t>
            </w:r>
            <w:r w:rsidRPr="00C2320B">
              <w:rPr>
                <w:rFonts w:ascii="Titillium Web" w:hAnsi="Titillium Web"/>
              </w:rPr>
              <w:t xml:space="preserve">Cathy has held various regulatory roles including Compliance Officer, MLRO, MLCO and </w:t>
            </w:r>
            <w:r w:rsidR="00E14763">
              <w:rPr>
                <w:rFonts w:ascii="Titillium Web" w:hAnsi="Titillium Web"/>
              </w:rPr>
              <w:t>has</w:t>
            </w:r>
            <w:r w:rsidR="002129E0">
              <w:rPr>
                <w:rFonts w:ascii="Titillium Web" w:hAnsi="Titillium Web"/>
              </w:rPr>
              <w:t xml:space="preserve"> </w:t>
            </w:r>
            <w:r w:rsidRPr="00C2320B">
              <w:rPr>
                <w:rFonts w:ascii="Titillium Web" w:hAnsi="Titillium Web"/>
              </w:rPr>
              <w:t xml:space="preserve">also </w:t>
            </w:r>
            <w:r w:rsidR="00E14763">
              <w:rPr>
                <w:rFonts w:ascii="Titillium Web" w:hAnsi="Titillium Web"/>
              </w:rPr>
              <w:t xml:space="preserve">been </w:t>
            </w:r>
            <w:r w:rsidRPr="00C2320B">
              <w:rPr>
                <w:rFonts w:ascii="Titillium Web" w:hAnsi="Titillium Web"/>
              </w:rPr>
              <w:t xml:space="preserve">an Approved Person (CF11) with the </w:t>
            </w:r>
            <w:r w:rsidR="00E14763">
              <w:rPr>
                <w:rFonts w:ascii="Titillium Web" w:hAnsi="Titillium Web"/>
              </w:rPr>
              <w:t xml:space="preserve">UK’s </w:t>
            </w:r>
            <w:r w:rsidRPr="00C2320B">
              <w:rPr>
                <w:rFonts w:ascii="Titillium Web" w:hAnsi="Titillium Web"/>
              </w:rPr>
              <w:t>FCA.</w:t>
            </w:r>
          </w:p>
        </w:tc>
      </w:tr>
    </w:tbl>
    <w:p w14:paraId="46E9F704" w14:textId="4C66EFCB" w:rsidR="00BA7E29" w:rsidRDefault="00BA7E29" w:rsidP="00BA7E29">
      <w:pPr>
        <w:spacing w:line="192" w:lineRule="auto"/>
        <w:jc w:val="both"/>
        <w:rPr>
          <w:rFonts w:ascii="Titillium Web" w:hAnsi="Titillium Web"/>
          <w:b/>
          <w:bCs/>
        </w:rPr>
      </w:pPr>
    </w:p>
    <w:tbl>
      <w:tblPr>
        <w:tblStyle w:val="TableGrid"/>
        <w:tblW w:w="94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1"/>
        <w:gridCol w:w="1478"/>
      </w:tblGrid>
      <w:tr w:rsidR="0038464B" w14:paraId="6A2FE04D" w14:textId="77777777" w:rsidTr="00482177">
        <w:trPr>
          <w:trHeight w:val="1757"/>
        </w:trPr>
        <w:tc>
          <w:tcPr>
            <w:tcW w:w="8022" w:type="dxa"/>
          </w:tcPr>
          <w:p w14:paraId="78E2CADB" w14:textId="77777777" w:rsidR="00BA5D14" w:rsidRPr="00E44C13" w:rsidRDefault="00BA5D14" w:rsidP="00BA5D14">
            <w:pPr>
              <w:spacing w:after="120" w:line="192" w:lineRule="auto"/>
              <w:jc w:val="both"/>
              <w:rPr>
                <w:rFonts w:ascii="Titillium Web" w:hAnsi="Titillium Web"/>
                <w:b/>
                <w:bCs/>
                <w:sz w:val="24"/>
                <w:szCs w:val="24"/>
              </w:rPr>
            </w:pPr>
            <w:r w:rsidRPr="00E44C13">
              <w:rPr>
                <w:rFonts w:ascii="Titillium Web" w:hAnsi="Titillium Web"/>
                <w:b/>
                <w:bCs/>
                <w:sz w:val="24"/>
                <w:szCs w:val="24"/>
              </w:rPr>
              <w:t>Paul Robinson</w:t>
            </w:r>
          </w:p>
          <w:p w14:paraId="6855FAE3" w14:textId="44E7E31C" w:rsidR="00BA7E29" w:rsidRPr="00CA0FCD" w:rsidRDefault="00BA5D14" w:rsidP="00436CF4">
            <w:pPr>
              <w:spacing w:line="192" w:lineRule="auto"/>
              <w:jc w:val="both"/>
              <w:rPr>
                <w:rFonts w:ascii="Titillium Web" w:hAnsi="Titillium Web"/>
              </w:rPr>
            </w:pPr>
            <w:r w:rsidRPr="00CA0FCD">
              <w:rPr>
                <w:rFonts w:ascii="Titillium Web" w:hAnsi="Titillium Web"/>
              </w:rPr>
              <w:t xml:space="preserve">Paul started his career at the </w:t>
            </w:r>
            <w:r w:rsidR="00436CF4" w:rsidRPr="00CA0FCD">
              <w:rPr>
                <w:rFonts w:ascii="Titillium Web" w:hAnsi="Titillium Web"/>
              </w:rPr>
              <w:t>GFSC</w:t>
            </w:r>
            <w:r w:rsidRPr="00CA0FCD">
              <w:rPr>
                <w:rFonts w:ascii="Titillium Web" w:hAnsi="Titillium Web"/>
              </w:rPr>
              <w:t xml:space="preserve"> as an Analyst in the Investment Business Division in 2009.  Paul subsequently worked for six and a half years in the Financial Crime Division, the last four as the Assistant Director </w:t>
            </w:r>
            <w:r w:rsidR="001C028B" w:rsidRPr="00CA0FCD">
              <w:rPr>
                <w:rFonts w:ascii="Titillium Web" w:hAnsi="Titillium Web"/>
              </w:rPr>
              <w:t>focussed on</w:t>
            </w:r>
            <w:r w:rsidRPr="00CA0FCD">
              <w:rPr>
                <w:rFonts w:ascii="Titillium Web" w:hAnsi="Titillium Web"/>
              </w:rPr>
              <w:t xml:space="preserve"> financial crime policy</w:t>
            </w:r>
            <w:r w:rsidR="001C028B" w:rsidRPr="00CA0FCD">
              <w:rPr>
                <w:rFonts w:ascii="Titillium Web" w:hAnsi="Titillium Web"/>
              </w:rPr>
              <w:t xml:space="preserve">.  Paul’s </w:t>
            </w:r>
            <w:r w:rsidR="00436CF4" w:rsidRPr="00CA0FCD">
              <w:rPr>
                <w:rFonts w:ascii="Titillium Web" w:hAnsi="Titillium Web"/>
              </w:rPr>
              <w:t xml:space="preserve">primary responsibility prior to leaving the GFSC </w:t>
            </w:r>
            <w:r w:rsidRPr="00CA0FCD">
              <w:rPr>
                <w:rFonts w:ascii="Titillium Web" w:hAnsi="Titillium Web"/>
              </w:rPr>
              <w:t>was the rewriting of the Commission’s Handbooks on</w:t>
            </w:r>
            <w:r w:rsidR="00436CF4" w:rsidRPr="00CA0FCD">
              <w:rPr>
                <w:rFonts w:ascii="Titillium Web" w:hAnsi="Titillium Web"/>
              </w:rPr>
              <w:t xml:space="preserve"> </w:t>
            </w:r>
            <w:r w:rsidRPr="00CA0FCD">
              <w:rPr>
                <w:rFonts w:ascii="Titillium Web" w:hAnsi="Titillium Web"/>
              </w:rPr>
              <w:t>Countering Financial Crime and Terrorist Financing</w:t>
            </w:r>
            <w:r w:rsidR="00436CF4" w:rsidRPr="00CA0FCD">
              <w:rPr>
                <w:rFonts w:ascii="Titillium Web" w:hAnsi="Titillium Web"/>
              </w:rPr>
              <w:t xml:space="preserve">, </w:t>
            </w:r>
            <w:r w:rsidR="00CA0FCD" w:rsidRPr="00CA0FCD">
              <w:rPr>
                <w:rFonts w:ascii="Titillium Web" w:hAnsi="Titillium Web"/>
              </w:rPr>
              <w:t>published in final form in March 2019.</w:t>
            </w:r>
          </w:p>
        </w:tc>
        <w:tc>
          <w:tcPr>
            <w:tcW w:w="1417" w:type="dxa"/>
            <w:vAlign w:val="center"/>
          </w:tcPr>
          <w:p w14:paraId="4586CFB3" w14:textId="437B9C3C" w:rsidR="00BA7E29" w:rsidRPr="0038464B" w:rsidRDefault="0038464B" w:rsidP="00E44C13">
            <w:pPr>
              <w:spacing w:line="192" w:lineRule="auto"/>
              <w:jc w:val="center"/>
              <w:rPr>
                <w:rFonts w:ascii="Titillium Web" w:hAnsi="Titillium Web"/>
              </w:rPr>
            </w:pPr>
            <w:r>
              <w:rPr>
                <w:rFonts w:ascii="Titillium Web" w:hAnsi="Titillium Web"/>
                <w:noProof/>
              </w:rPr>
              <w:drawing>
                <wp:inline distT="0" distB="0" distL="0" distR="0" wp14:anchorId="78258548" wp14:editId="49675336">
                  <wp:extent cx="801843" cy="1123950"/>
                  <wp:effectExtent l="0" t="0" r="0" b="0"/>
                  <wp:docPr id="2" name="Picture 2" descr="A person wearing a suit and tie look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0829-p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486" cy="1147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514156" w14:textId="1DAC9AC6" w:rsidR="00592DDB" w:rsidRPr="00592DDB" w:rsidRDefault="00592DDB" w:rsidP="00C10928">
      <w:pPr>
        <w:spacing w:line="192" w:lineRule="auto"/>
        <w:jc w:val="both"/>
        <w:rPr>
          <w:rFonts w:ascii="Titillium Web" w:hAnsi="Titillium Web"/>
          <w:b/>
          <w:bCs/>
        </w:rPr>
      </w:pPr>
    </w:p>
    <w:sectPr w:rsidR="00592DDB" w:rsidRPr="00592DDB" w:rsidSect="00070EE2">
      <w:headerReference w:type="default" r:id="rId12"/>
      <w:footerReference w:type="default" r:id="rId13"/>
      <w:pgSz w:w="11906" w:h="16838"/>
      <w:pgMar w:top="1440" w:right="1440" w:bottom="1985" w:left="1440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29C1" w14:textId="77777777" w:rsidR="00EE03AF" w:rsidRDefault="00EE03AF" w:rsidP="006F6FE0">
      <w:r>
        <w:separator/>
      </w:r>
    </w:p>
  </w:endnote>
  <w:endnote w:type="continuationSeparator" w:id="0">
    <w:p w14:paraId="1C8F8600" w14:textId="77777777" w:rsidR="00EE03AF" w:rsidRDefault="00EE03AF" w:rsidP="006F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38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669"/>
      <w:gridCol w:w="5669"/>
    </w:tblGrid>
    <w:tr w:rsidR="00790F02" w14:paraId="152A0E69" w14:textId="77777777" w:rsidTr="00D77AA8">
      <w:trPr>
        <w:trHeight w:val="1692"/>
        <w:jc w:val="center"/>
      </w:trPr>
      <w:tc>
        <w:tcPr>
          <w:tcW w:w="5669" w:type="dxa"/>
          <w:vAlign w:val="bottom"/>
        </w:tcPr>
        <w:p w14:paraId="32BE9371" w14:textId="721548A4" w:rsidR="00E14763" w:rsidRPr="00E14763" w:rsidRDefault="00D77AA8" w:rsidP="00D77AA8">
          <w:pPr>
            <w:pStyle w:val="Footer"/>
            <w:jc w:val="center"/>
            <w:rPr>
              <w:rFonts w:ascii="Titillium Web" w:hAnsi="Titillium Web"/>
              <w:color w:val="F7931D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590B603" wp14:editId="144CA87F">
                <wp:extent cx="1477925" cy="1057641"/>
                <wp:effectExtent l="0" t="0" r="8255" b="9525"/>
                <wp:docPr id="9" name="Picture 9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L-Consultancy-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091" cy="11250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vAlign w:val="bottom"/>
        </w:tcPr>
        <w:p w14:paraId="542B1DFB" w14:textId="162A8B11" w:rsidR="00790F02" w:rsidRDefault="00D77AA8" w:rsidP="00D77AA8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7925DAAC" wp14:editId="3C42EDF9">
                <wp:extent cx="2655423" cy="828164"/>
                <wp:effectExtent l="0" t="0" r="0" b="0"/>
                <wp:docPr id="7" name="Picture 7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20190725 -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515" cy="956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2D6AD5" w14:textId="77777777" w:rsidR="00790F02" w:rsidRDefault="00790F02" w:rsidP="00790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2AF9D" w14:textId="77777777" w:rsidR="00EE03AF" w:rsidRDefault="00EE03AF" w:rsidP="006F6FE0">
      <w:r>
        <w:separator/>
      </w:r>
    </w:p>
  </w:footnote>
  <w:footnote w:type="continuationSeparator" w:id="0">
    <w:p w14:paraId="2EB31F04" w14:textId="77777777" w:rsidR="00EE03AF" w:rsidRDefault="00EE03AF" w:rsidP="006F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29A26" w14:textId="66EE9CE9" w:rsidR="001A7956" w:rsidRDefault="001A7956">
    <w:pPr>
      <w:pStyle w:val="Header"/>
    </w:pPr>
    <w:r w:rsidRPr="001A7956">
      <w:rPr>
        <w:noProof/>
      </w:rPr>
      <w:drawing>
        <wp:anchor distT="0" distB="0" distL="114300" distR="114300" simplePos="0" relativeHeight="251658240" behindDoc="1" locked="0" layoutInCell="1" allowOverlap="1" wp14:anchorId="44FBC0EE" wp14:editId="19BC4CB8">
          <wp:simplePos x="0" y="0"/>
          <wp:positionH relativeFrom="margin">
            <wp:align>center</wp:align>
          </wp:positionH>
          <wp:positionV relativeFrom="paragraph">
            <wp:posOffset>-775614</wp:posOffset>
          </wp:positionV>
          <wp:extent cx="7694250" cy="1244009"/>
          <wp:effectExtent l="0" t="0" r="2540" b="0"/>
          <wp:wrapNone/>
          <wp:docPr id="4" name="Picture 1">
            <a:extLst xmlns:a="http://schemas.openxmlformats.org/drawingml/2006/main">
              <a:ext uri="{FF2B5EF4-FFF2-40B4-BE49-F238E27FC236}">
                <a16:creationId xmlns:a16="http://schemas.microsoft.com/office/drawing/2014/main" id="{D5BA275E-DD3C-407C-9BD2-613E695E1B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>
                    <a:extLst>
                      <a:ext uri="{FF2B5EF4-FFF2-40B4-BE49-F238E27FC236}">
                        <a16:creationId xmlns:a16="http://schemas.microsoft.com/office/drawing/2014/main" id="{D5BA275E-DD3C-407C-9BD2-613E695E1B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02" b="4376"/>
                  <a:stretch/>
                </pic:blipFill>
                <pic:spPr bwMode="auto">
                  <a:xfrm>
                    <a:off x="0" y="0"/>
                    <a:ext cx="7696953" cy="1244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1C2A63" w14:textId="3BEBFA50" w:rsidR="002C2192" w:rsidRDefault="002C2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C3071"/>
    <w:multiLevelType w:val="hybridMultilevel"/>
    <w:tmpl w:val="1D28C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3"/>
    <w:rsid w:val="00011F84"/>
    <w:rsid w:val="0003064A"/>
    <w:rsid w:val="00070EE2"/>
    <w:rsid w:val="000813EC"/>
    <w:rsid w:val="000B68F6"/>
    <w:rsid w:val="000F256A"/>
    <w:rsid w:val="000F4AC7"/>
    <w:rsid w:val="00102501"/>
    <w:rsid w:val="0011180F"/>
    <w:rsid w:val="00175C0A"/>
    <w:rsid w:val="0019158C"/>
    <w:rsid w:val="001A7956"/>
    <w:rsid w:val="001C028B"/>
    <w:rsid w:val="001C16ED"/>
    <w:rsid w:val="001D38D6"/>
    <w:rsid w:val="00203EAB"/>
    <w:rsid w:val="002075A3"/>
    <w:rsid w:val="002129E0"/>
    <w:rsid w:val="0021357C"/>
    <w:rsid w:val="00215AAF"/>
    <w:rsid w:val="00220A16"/>
    <w:rsid w:val="002404FD"/>
    <w:rsid w:val="00240D22"/>
    <w:rsid w:val="00241F4F"/>
    <w:rsid w:val="002737E8"/>
    <w:rsid w:val="00295B13"/>
    <w:rsid w:val="002C2192"/>
    <w:rsid w:val="002E5E91"/>
    <w:rsid w:val="002E755C"/>
    <w:rsid w:val="00301CEF"/>
    <w:rsid w:val="003033D6"/>
    <w:rsid w:val="003421F4"/>
    <w:rsid w:val="003432DC"/>
    <w:rsid w:val="00365324"/>
    <w:rsid w:val="0038464B"/>
    <w:rsid w:val="003930A2"/>
    <w:rsid w:val="003E07B8"/>
    <w:rsid w:val="00416A82"/>
    <w:rsid w:val="00427319"/>
    <w:rsid w:val="00436CF4"/>
    <w:rsid w:val="00482177"/>
    <w:rsid w:val="004A5C4C"/>
    <w:rsid w:val="004A71DC"/>
    <w:rsid w:val="004C0099"/>
    <w:rsid w:val="00530E6A"/>
    <w:rsid w:val="00590992"/>
    <w:rsid w:val="00592DDB"/>
    <w:rsid w:val="005C6655"/>
    <w:rsid w:val="005F5B1C"/>
    <w:rsid w:val="006203D2"/>
    <w:rsid w:val="00621430"/>
    <w:rsid w:val="00691929"/>
    <w:rsid w:val="006A6985"/>
    <w:rsid w:val="006F23D7"/>
    <w:rsid w:val="006F6FE0"/>
    <w:rsid w:val="00790F02"/>
    <w:rsid w:val="00792DC0"/>
    <w:rsid w:val="007951D4"/>
    <w:rsid w:val="007A4AA5"/>
    <w:rsid w:val="007B12C5"/>
    <w:rsid w:val="007D73F5"/>
    <w:rsid w:val="00844828"/>
    <w:rsid w:val="00851098"/>
    <w:rsid w:val="008547DC"/>
    <w:rsid w:val="00856CF5"/>
    <w:rsid w:val="008658C6"/>
    <w:rsid w:val="00882543"/>
    <w:rsid w:val="008A12F2"/>
    <w:rsid w:val="00931C1B"/>
    <w:rsid w:val="00965AC4"/>
    <w:rsid w:val="009C7D98"/>
    <w:rsid w:val="00A24D2D"/>
    <w:rsid w:val="00A2538F"/>
    <w:rsid w:val="00A672EB"/>
    <w:rsid w:val="00A70C8B"/>
    <w:rsid w:val="00A86919"/>
    <w:rsid w:val="00A879E4"/>
    <w:rsid w:val="00A96547"/>
    <w:rsid w:val="00B62B6D"/>
    <w:rsid w:val="00B93EB3"/>
    <w:rsid w:val="00BA5D14"/>
    <w:rsid w:val="00BA7E29"/>
    <w:rsid w:val="00C01805"/>
    <w:rsid w:val="00C10928"/>
    <w:rsid w:val="00C225F7"/>
    <w:rsid w:val="00C2320B"/>
    <w:rsid w:val="00C9251A"/>
    <w:rsid w:val="00CA0FCD"/>
    <w:rsid w:val="00CE0716"/>
    <w:rsid w:val="00D15142"/>
    <w:rsid w:val="00D77AA8"/>
    <w:rsid w:val="00D87C31"/>
    <w:rsid w:val="00DB65EC"/>
    <w:rsid w:val="00DE41A4"/>
    <w:rsid w:val="00DE5127"/>
    <w:rsid w:val="00E04673"/>
    <w:rsid w:val="00E14763"/>
    <w:rsid w:val="00E32B9C"/>
    <w:rsid w:val="00E44C13"/>
    <w:rsid w:val="00E759C2"/>
    <w:rsid w:val="00EE03AF"/>
    <w:rsid w:val="00F13056"/>
    <w:rsid w:val="00F55C28"/>
    <w:rsid w:val="00F879D3"/>
    <w:rsid w:val="00F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53AA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9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3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2543"/>
    <w:pPr>
      <w:ind w:left="720"/>
      <w:contextualSpacing/>
    </w:pPr>
  </w:style>
  <w:style w:type="table" w:styleId="TableGrid">
    <w:name w:val="Table Grid"/>
    <w:basedOn w:val="TableNormal"/>
    <w:uiPriority w:val="39"/>
    <w:rsid w:val="00D8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FE0"/>
  </w:style>
  <w:style w:type="paragraph" w:styleId="Footer">
    <w:name w:val="footer"/>
    <w:basedOn w:val="Normal"/>
    <w:link w:val="FooterChar"/>
    <w:uiPriority w:val="99"/>
    <w:unhideWhenUsed/>
    <w:rsid w:val="006F6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FE0"/>
  </w:style>
  <w:style w:type="character" w:styleId="PlaceholderText">
    <w:name w:val="Placeholder Text"/>
    <w:basedOn w:val="DefaultParagraphFont"/>
    <w:uiPriority w:val="99"/>
    <w:semiHidden/>
    <w:rsid w:val="006F6F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7774E83CA4C49AE1C141BA403D034" ma:contentTypeVersion="7" ma:contentTypeDescription="Create a new document." ma:contentTypeScope="" ma:versionID="753fda9e2f8bf775c98c45afa87735fd">
  <xsd:schema xmlns:xsd="http://www.w3.org/2001/XMLSchema" xmlns:xs="http://www.w3.org/2001/XMLSchema" xmlns:p="http://schemas.microsoft.com/office/2006/metadata/properties" xmlns:ns2="60db7cfc-a14e-4944-bfd2-78c8becb2417" targetNamespace="http://schemas.microsoft.com/office/2006/metadata/properties" ma:root="true" ma:fieldsID="dc1346ad02bf42cbf9e3ed975751ab6c" ns2:_="">
    <xsd:import namespace="60db7cfc-a14e-4944-bfd2-78c8becb2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b7cfc-a14e-4944-bfd2-78c8becb2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603FB-31A1-4F65-A238-4E8D995C8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AF425-8D48-4CBA-8554-FC86895171BB}">
  <ds:schemaRefs>
    <ds:schemaRef ds:uri="http://purl.org/dc/terms/"/>
    <ds:schemaRef ds:uri="60db7cfc-a14e-4944-bfd2-78c8becb241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4D8618-0AFB-4CEA-BB07-5B8F49015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b7cfc-a14e-4944-bfd2-78c8becb2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2019-11-07T19:52:00Z</dcterms:created>
  <dcterms:modified xsi:type="dcterms:W3CDTF">2019-11-07T19:52:00Z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0x01010020A7774E83CA4C49AE1C141BA403D034</vt:lpwstr>
  </property>
</Properties>
</file>